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48" w:rsidRPr="00E150F2" w:rsidRDefault="00504FA4" w:rsidP="006077EA">
      <w:pPr>
        <w:spacing w:after="0"/>
        <w:jc w:val="center"/>
        <w:rPr>
          <w:rFonts w:cstheme="minorHAnsi"/>
          <w:b/>
        </w:rPr>
      </w:pPr>
      <w:r w:rsidRPr="00E150F2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5FD8EBE" wp14:editId="0B59CEF1">
            <wp:simplePos x="0" y="0"/>
            <wp:positionH relativeFrom="column">
              <wp:posOffset>6197951</wp:posOffset>
            </wp:positionH>
            <wp:positionV relativeFrom="paragraph">
              <wp:posOffset>1730</wp:posOffset>
            </wp:positionV>
            <wp:extent cx="457201" cy="624841"/>
            <wp:effectExtent l="0" t="0" r="0" b="3810"/>
            <wp:wrapThrough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62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0F2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-213754</wp:posOffset>
            </wp:positionH>
            <wp:positionV relativeFrom="paragraph">
              <wp:posOffset>219</wp:posOffset>
            </wp:positionV>
            <wp:extent cx="457201" cy="624841"/>
            <wp:effectExtent l="0" t="0" r="0" b="3810"/>
            <wp:wrapThrough wrapText="bothSides">
              <wp:wrapPolygon edited="0">
                <wp:start x="0" y="0"/>
                <wp:lineTo x="0" y="21073"/>
                <wp:lineTo x="20700" y="21073"/>
                <wp:lineTo x="2070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62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E6" w:rsidRPr="00E150F2">
        <w:rPr>
          <w:rFonts w:cstheme="minorHAnsi"/>
          <w:b/>
        </w:rPr>
        <w:t>Bulletin d’inscription individuelle</w:t>
      </w:r>
    </w:p>
    <w:p w:rsidR="00D027E6" w:rsidRPr="00E150F2" w:rsidRDefault="00D027E6" w:rsidP="006077EA">
      <w:pPr>
        <w:spacing w:after="0"/>
        <w:jc w:val="center"/>
        <w:rPr>
          <w:rFonts w:cstheme="minorHAnsi"/>
          <w:b/>
        </w:rPr>
      </w:pPr>
      <w:r w:rsidRPr="00E150F2">
        <w:rPr>
          <w:rFonts w:cstheme="minorHAnsi"/>
          <w:b/>
        </w:rPr>
        <w:t xml:space="preserve">Rencontres </w:t>
      </w:r>
      <w:r w:rsidR="0025739C" w:rsidRPr="00E150F2">
        <w:rPr>
          <w:rFonts w:cstheme="minorHAnsi"/>
          <w:b/>
        </w:rPr>
        <w:t>nationales</w:t>
      </w:r>
      <w:r w:rsidRPr="00E150F2">
        <w:rPr>
          <w:rFonts w:cstheme="minorHAnsi"/>
          <w:b/>
        </w:rPr>
        <w:t xml:space="preserve"> – L’efficience de la démarche RETEX pour les SDIS et leurs partenaires</w:t>
      </w:r>
    </w:p>
    <w:p w:rsidR="00D027E6" w:rsidRPr="005B3B67" w:rsidRDefault="00D027E6" w:rsidP="006077EA">
      <w:pPr>
        <w:spacing w:after="0"/>
        <w:jc w:val="center"/>
        <w:rPr>
          <w:rFonts w:cstheme="minorHAnsi"/>
          <w:b/>
          <w:sz w:val="20"/>
          <w:szCs w:val="20"/>
        </w:rPr>
      </w:pPr>
      <w:r w:rsidRPr="005B3B67">
        <w:rPr>
          <w:rFonts w:cstheme="minorHAnsi"/>
          <w:b/>
          <w:sz w:val="20"/>
          <w:szCs w:val="20"/>
        </w:rPr>
        <w:t>Les 17 et 18 octobre 2018 – Salle du Hérel – Granville</w:t>
      </w:r>
    </w:p>
    <w:p w:rsidR="00E30148" w:rsidRPr="005B3B67" w:rsidRDefault="00D027E6" w:rsidP="002E2734">
      <w:pPr>
        <w:jc w:val="center"/>
        <w:rPr>
          <w:rFonts w:cstheme="minorHAnsi"/>
          <w:i/>
          <w:sz w:val="20"/>
          <w:szCs w:val="20"/>
        </w:rPr>
      </w:pPr>
      <w:r w:rsidRPr="00054024">
        <w:rPr>
          <w:rFonts w:cstheme="minorHAnsi"/>
          <w:b/>
          <w:i/>
          <w:sz w:val="20"/>
          <w:szCs w:val="20"/>
        </w:rPr>
        <w:t>Bulletin à renvoyer</w:t>
      </w:r>
      <w:r w:rsidR="002E2734" w:rsidRPr="00054024">
        <w:rPr>
          <w:rFonts w:cstheme="minorHAnsi"/>
          <w:b/>
          <w:i/>
          <w:sz w:val="20"/>
          <w:szCs w:val="20"/>
        </w:rPr>
        <w:t xml:space="preserve"> le plus rapidement possible et</w:t>
      </w:r>
      <w:r w:rsidRPr="00054024">
        <w:rPr>
          <w:rFonts w:cstheme="minorHAnsi"/>
          <w:b/>
          <w:i/>
          <w:sz w:val="20"/>
          <w:szCs w:val="20"/>
        </w:rPr>
        <w:t xml:space="preserve"> impérativement </w:t>
      </w:r>
      <w:r w:rsidRPr="00326369">
        <w:rPr>
          <w:rFonts w:cstheme="minorHAnsi"/>
          <w:b/>
          <w:i/>
          <w:color w:val="FF0000"/>
          <w:sz w:val="20"/>
          <w:szCs w:val="20"/>
        </w:rPr>
        <w:t xml:space="preserve">avant le </w:t>
      </w:r>
      <w:r w:rsidR="00326369" w:rsidRPr="00326369">
        <w:rPr>
          <w:rFonts w:cstheme="minorHAnsi"/>
          <w:b/>
          <w:i/>
          <w:color w:val="FF0000"/>
          <w:sz w:val="20"/>
          <w:szCs w:val="20"/>
        </w:rPr>
        <w:t xml:space="preserve">15 </w:t>
      </w:r>
      <w:r w:rsidR="002E2734" w:rsidRPr="00326369">
        <w:rPr>
          <w:rFonts w:cstheme="minorHAnsi"/>
          <w:b/>
          <w:i/>
          <w:color w:val="FF0000"/>
          <w:sz w:val="20"/>
          <w:szCs w:val="20"/>
        </w:rPr>
        <w:t>septembre</w:t>
      </w:r>
      <w:r w:rsidRPr="00326369">
        <w:rPr>
          <w:rFonts w:cstheme="minorHAnsi"/>
          <w:b/>
          <w:i/>
          <w:color w:val="FF0000"/>
          <w:sz w:val="20"/>
          <w:szCs w:val="20"/>
        </w:rPr>
        <w:t xml:space="preserve"> 2018</w:t>
      </w:r>
      <w:r w:rsidRPr="00326369">
        <w:rPr>
          <w:rFonts w:cstheme="minorHAnsi"/>
          <w:i/>
          <w:color w:val="FF0000"/>
          <w:sz w:val="20"/>
          <w:szCs w:val="20"/>
        </w:rPr>
        <w:t xml:space="preserve"> </w:t>
      </w:r>
      <w:r w:rsidRPr="005B3B67">
        <w:rPr>
          <w:rFonts w:cstheme="minorHAnsi"/>
          <w:i/>
          <w:sz w:val="20"/>
          <w:szCs w:val="20"/>
        </w:rPr>
        <w:t xml:space="preserve">par mail à l’adresse suivante : </w:t>
      </w:r>
      <w:hyperlink r:id="rId9" w:history="1">
        <w:r w:rsidRPr="005B3B67">
          <w:rPr>
            <w:rStyle w:val="Lienhypertexte"/>
            <w:rFonts w:cstheme="minorHAnsi"/>
            <w:i/>
            <w:sz w:val="20"/>
            <w:szCs w:val="20"/>
          </w:rPr>
          <w:t>rencontres-retex@sdis50.fr</w:t>
        </w:r>
      </w:hyperlink>
      <w:r w:rsidRPr="005B3B67">
        <w:rPr>
          <w:rFonts w:cstheme="minorHAnsi"/>
          <w:i/>
          <w:sz w:val="20"/>
          <w:szCs w:val="20"/>
        </w:rPr>
        <w:t xml:space="preserve">  ou par courrier</w:t>
      </w:r>
      <w:r w:rsidR="00340DBF" w:rsidRPr="005B3B67">
        <w:rPr>
          <w:rFonts w:cstheme="minorHAnsi"/>
          <w:i/>
          <w:sz w:val="20"/>
          <w:szCs w:val="20"/>
        </w:rPr>
        <w:t xml:space="preserve"> : </w:t>
      </w:r>
      <w:r w:rsidRPr="005B3B67">
        <w:rPr>
          <w:rFonts w:cstheme="minorHAnsi"/>
          <w:i/>
          <w:sz w:val="20"/>
          <w:szCs w:val="20"/>
        </w:rPr>
        <w:t xml:space="preserve">SDIS50 </w:t>
      </w:r>
      <w:r w:rsidR="00340DBF" w:rsidRPr="005B3B67">
        <w:rPr>
          <w:rFonts w:cstheme="minorHAnsi"/>
          <w:i/>
          <w:sz w:val="20"/>
          <w:szCs w:val="20"/>
        </w:rPr>
        <w:t xml:space="preserve">– </w:t>
      </w:r>
      <w:r w:rsidRPr="005B3B67">
        <w:rPr>
          <w:rFonts w:cstheme="minorHAnsi"/>
          <w:i/>
          <w:sz w:val="20"/>
          <w:szCs w:val="20"/>
        </w:rPr>
        <w:t>Rencontres Retex – 1238, rue du vieux Candol – CS45309 – 50009 SAINT LO</w:t>
      </w:r>
    </w:p>
    <w:p w:rsidR="007B1285" w:rsidRPr="005B3B67" w:rsidRDefault="007B1285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D027E6" w:rsidRPr="005B3B67" w:rsidRDefault="00D027E6" w:rsidP="00D027E6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5B3B67">
        <w:rPr>
          <w:rFonts w:cstheme="minorHAnsi"/>
          <w:b/>
          <w:sz w:val="20"/>
          <w:szCs w:val="20"/>
          <w:u w:val="single"/>
        </w:rPr>
        <w:t>Identité et coordonnées</w:t>
      </w:r>
    </w:p>
    <w:p w:rsidR="00D027E6" w:rsidRPr="005B3B67" w:rsidRDefault="00D027E6" w:rsidP="00340DBF">
      <w:pPr>
        <w:tabs>
          <w:tab w:val="left" w:pos="567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Nom :</w:t>
      </w:r>
      <w:r w:rsidR="00504FA4" w:rsidRPr="005B3B67">
        <w:rPr>
          <w:rFonts w:cstheme="minorHAnsi"/>
          <w:sz w:val="20"/>
          <w:szCs w:val="20"/>
        </w:rPr>
        <w:t> ………………………………………………………………….</w:t>
      </w:r>
      <w:r w:rsidRPr="005B3B67">
        <w:rPr>
          <w:rFonts w:cstheme="minorHAnsi"/>
          <w:sz w:val="20"/>
          <w:szCs w:val="20"/>
        </w:rPr>
        <w:tab/>
        <w:t>Prénom :</w:t>
      </w:r>
      <w:r w:rsidR="00504FA4" w:rsidRPr="005B3B67">
        <w:rPr>
          <w:rFonts w:cstheme="minorHAnsi"/>
          <w:sz w:val="20"/>
          <w:szCs w:val="20"/>
        </w:rPr>
        <w:t> ………………………………………………………………</w:t>
      </w:r>
    </w:p>
    <w:p w:rsidR="00D027E6" w:rsidRPr="005B3B67" w:rsidRDefault="00D027E6" w:rsidP="00340DBF">
      <w:pPr>
        <w:tabs>
          <w:tab w:val="left" w:pos="567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 xml:space="preserve">Grade : </w:t>
      </w:r>
      <w:r w:rsidR="00504FA4" w:rsidRPr="005B3B67">
        <w:rPr>
          <w:rFonts w:cstheme="minorHAnsi"/>
          <w:sz w:val="20"/>
          <w:szCs w:val="20"/>
        </w:rPr>
        <w:t>……………………………………………………………….</w:t>
      </w:r>
      <w:r w:rsidRPr="005B3B67">
        <w:rPr>
          <w:rFonts w:cstheme="minorHAnsi"/>
          <w:sz w:val="20"/>
          <w:szCs w:val="20"/>
        </w:rPr>
        <w:tab/>
        <w:t>Téléphone :</w:t>
      </w:r>
      <w:r w:rsidR="00504FA4" w:rsidRPr="005B3B67">
        <w:rPr>
          <w:rFonts w:cstheme="minorHAnsi"/>
          <w:sz w:val="20"/>
          <w:szCs w:val="20"/>
        </w:rPr>
        <w:t xml:space="preserve"> ……………………………………………………</w:t>
      </w:r>
      <w:r w:rsidR="00871D0A" w:rsidRPr="005B3B67">
        <w:rPr>
          <w:rFonts w:cstheme="minorHAnsi"/>
          <w:sz w:val="20"/>
          <w:szCs w:val="20"/>
        </w:rPr>
        <w:t>……</w:t>
      </w:r>
      <w:r w:rsidR="00504FA4" w:rsidRPr="005B3B67">
        <w:rPr>
          <w:rFonts w:cstheme="minorHAnsi"/>
          <w:sz w:val="20"/>
          <w:szCs w:val="20"/>
        </w:rPr>
        <w:t>.</w:t>
      </w:r>
      <w:r w:rsidR="00CC14B5">
        <w:rPr>
          <w:rFonts w:cstheme="minorHAnsi"/>
          <w:sz w:val="20"/>
          <w:szCs w:val="20"/>
        </w:rPr>
        <w:t xml:space="preserve"> </w:t>
      </w:r>
    </w:p>
    <w:p w:rsidR="00D027E6" w:rsidRPr="005B3B67" w:rsidRDefault="00D027E6" w:rsidP="00340DBF">
      <w:pPr>
        <w:tabs>
          <w:tab w:val="left" w:pos="567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Adresse mail :</w:t>
      </w:r>
      <w:r w:rsidR="00504FA4" w:rsidRPr="005B3B67">
        <w:rPr>
          <w:rFonts w:cstheme="minorHAnsi"/>
          <w:sz w:val="20"/>
          <w:szCs w:val="20"/>
        </w:rPr>
        <w:t xml:space="preserve"> …………………………………………………….</w:t>
      </w:r>
      <w:r w:rsidR="008A2AF4">
        <w:rPr>
          <w:rFonts w:cstheme="minorHAnsi"/>
          <w:sz w:val="20"/>
          <w:szCs w:val="20"/>
        </w:rPr>
        <w:tab/>
        <w:t>SDIS </w:t>
      </w:r>
      <w:r w:rsidR="00F923B9">
        <w:rPr>
          <w:rFonts w:cstheme="minorHAnsi"/>
          <w:sz w:val="20"/>
          <w:szCs w:val="20"/>
        </w:rPr>
        <w:t xml:space="preserve">/ entreprise </w:t>
      </w:r>
      <w:r w:rsidR="008A2AF4">
        <w:rPr>
          <w:rFonts w:cstheme="minorHAnsi"/>
          <w:sz w:val="20"/>
          <w:szCs w:val="20"/>
        </w:rPr>
        <w:t xml:space="preserve">: </w:t>
      </w:r>
      <w:r w:rsidR="008A2AF4" w:rsidRPr="005B3B67">
        <w:rPr>
          <w:rFonts w:cstheme="minorHAnsi"/>
          <w:sz w:val="20"/>
          <w:szCs w:val="20"/>
        </w:rPr>
        <w:t>………………………………………</w:t>
      </w:r>
      <w:r w:rsidR="008A2AF4">
        <w:rPr>
          <w:rFonts w:cstheme="minorHAnsi"/>
          <w:sz w:val="20"/>
          <w:szCs w:val="20"/>
        </w:rPr>
        <w:t>…………</w:t>
      </w:r>
    </w:p>
    <w:p w:rsidR="00D027E6" w:rsidRPr="005B3B67" w:rsidRDefault="00D027E6" w:rsidP="00340DBF">
      <w:pPr>
        <w:tabs>
          <w:tab w:val="left" w:pos="567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 xml:space="preserve">Adresse : </w:t>
      </w:r>
      <w:r w:rsidR="00504FA4" w:rsidRPr="005B3B6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CC14B5">
        <w:rPr>
          <w:rFonts w:cstheme="minorHAnsi"/>
          <w:sz w:val="20"/>
          <w:szCs w:val="20"/>
        </w:rPr>
        <w:t xml:space="preserve">…………  </w:t>
      </w:r>
    </w:p>
    <w:p w:rsidR="00504FA4" w:rsidRPr="005B3B67" w:rsidRDefault="00991193" w:rsidP="00991193">
      <w:pPr>
        <w:tabs>
          <w:tab w:val="left" w:pos="5670"/>
        </w:tabs>
        <w:spacing w:after="60"/>
        <w:ind w:left="851" w:hanging="851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</w:p>
    <w:p w:rsidR="00D027E6" w:rsidRPr="005B3B67" w:rsidRDefault="00D027E6" w:rsidP="00E44BCC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 xml:space="preserve">Fonction : </w:t>
      </w:r>
      <w:r w:rsidRPr="005B3B67">
        <w:rPr>
          <w:rFonts w:cstheme="minorHAnsi"/>
          <w:sz w:val="20"/>
          <w:szCs w:val="20"/>
        </w:rPr>
        <w:tab/>
      </w:r>
      <w:r w:rsidR="00E44BCC"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Directeur départemental</w:t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tab/>
      </w:r>
      <w:r w:rsidR="00E44BCC"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Directeur départemental adjoint</w:t>
      </w:r>
    </w:p>
    <w:p w:rsidR="00E44BCC" w:rsidRPr="005B3B67" w:rsidRDefault="00E44BCC" w:rsidP="00E44BCC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Chef de groupement</w:t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Chef de centre</w:t>
      </w:r>
    </w:p>
    <w:p w:rsidR="00E44BCC" w:rsidRPr="005B3B67" w:rsidRDefault="00E44BCC" w:rsidP="00E44BCC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Chef de service</w:t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Autre : </w:t>
      </w:r>
    </w:p>
    <w:p w:rsidR="00D027E6" w:rsidRPr="005B3B67" w:rsidRDefault="00D027E6" w:rsidP="00991193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sz w:val="20"/>
          <w:szCs w:val="20"/>
        </w:rPr>
      </w:pPr>
    </w:p>
    <w:p w:rsidR="00E44BCC" w:rsidRPr="005B3B67" w:rsidRDefault="00E44BCC" w:rsidP="00E44BCC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5B3B67">
        <w:rPr>
          <w:rFonts w:cstheme="minorHAnsi"/>
          <w:b/>
          <w:sz w:val="20"/>
          <w:szCs w:val="20"/>
          <w:u w:val="single"/>
        </w:rPr>
        <w:t>Inscription et règlement</w:t>
      </w:r>
    </w:p>
    <w:p w:rsidR="00E44BCC" w:rsidRDefault="00E44BCC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Montant de la participation</w:t>
      </w:r>
      <w:r w:rsidR="00F923B9">
        <w:rPr>
          <w:rFonts w:cstheme="minorHAnsi"/>
          <w:sz w:val="20"/>
          <w:szCs w:val="20"/>
        </w:rPr>
        <w:t xml:space="preserve"> : </w:t>
      </w:r>
      <w:r w:rsidR="00F923B9" w:rsidRPr="005B3B67">
        <w:rPr>
          <w:rFonts w:cstheme="minorHAnsi"/>
          <w:b/>
          <w:sz w:val="20"/>
          <w:szCs w:val="20"/>
        </w:rPr>
        <w:t>50€</w:t>
      </w:r>
      <w:r w:rsidR="00F923B9">
        <w:rPr>
          <w:rFonts w:cstheme="minorHAnsi"/>
          <w:b/>
          <w:sz w:val="20"/>
          <w:szCs w:val="20"/>
        </w:rPr>
        <w:t xml:space="preserve"> </w:t>
      </w:r>
      <w:r w:rsidRPr="005B3B67">
        <w:rPr>
          <w:rFonts w:cstheme="minorHAnsi"/>
          <w:sz w:val="20"/>
          <w:szCs w:val="20"/>
        </w:rPr>
        <w:t>pour les 2 journées</w:t>
      </w:r>
      <w:r w:rsidR="00F923B9" w:rsidRPr="00E150F2">
        <w:rPr>
          <w:rFonts w:cstheme="minorHAnsi"/>
          <w:sz w:val="20"/>
          <w:szCs w:val="20"/>
        </w:rPr>
        <w:t>,</w:t>
      </w:r>
      <w:r w:rsidR="00F923B9">
        <w:rPr>
          <w:rFonts w:cstheme="minorHAnsi"/>
          <w:b/>
          <w:sz w:val="20"/>
          <w:szCs w:val="20"/>
        </w:rPr>
        <w:t xml:space="preserve"> 25€ </w:t>
      </w:r>
      <w:r w:rsidR="00F923B9" w:rsidRPr="00F923B9">
        <w:rPr>
          <w:rFonts w:cstheme="minorHAnsi"/>
          <w:sz w:val="20"/>
          <w:szCs w:val="20"/>
        </w:rPr>
        <w:t>par journée</w:t>
      </w:r>
      <w:r w:rsidR="00F923B9">
        <w:rPr>
          <w:rFonts w:cstheme="minorHAnsi"/>
          <w:sz w:val="20"/>
          <w:szCs w:val="20"/>
        </w:rPr>
        <w:t>.</w:t>
      </w:r>
    </w:p>
    <w:p w:rsidR="00F923B9" w:rsidRDefault="00F923B9" w:rsidP="00F923B9">
      <w:pPr>
        <w:tabs>
          <w:tab w:val="left" w:pos="2835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Participation</w:t>
      </w:r>
      <w:r w:rsidRPr="005B3B67">
        <w:rPr>
          <w:rFonts w:cstheme="minorHAnsi"/>
          <w:sz w:val="20"/>
          <w:szCs w:val="20"/>
        </w:rPr>
        <w:t xml:space="preserve"> journée 1</w:t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repas </w:t>
      </w:r>
    </w:p>
    <w:p w:rsidR="00F923B9" w:rsidRDefault="00F923B9" w:rsidP="00F923B9">
      <w:pPr>
        <w:tabs>
          <w:tab w:val="left" w:pos="2835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Participation</w:t>
      </w:r>
      <w:r w:rsidRPr="005B3B67">
        <w:rPr>
          <w:rFonts w:cstheme="minorHAnsi"/>
          <w:sz w:val="20"/>
          <w:szCs w:val="20"/>
        </w:rPr>
        <w:t xml:space="preserve"> journée </w:t>
      </w:r>
      <w:r>
        <w:rPr>
          <w:rFonts w:cstheme="minorHAnsi"/>
          <w:sz w:val="20"/>
          <w:szCs w:val="20"/>
        </w:rPr>
        <w:t>2</w:t>
      </w: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repas </w:t>
      </w:r>
    </w:p>
    <w:p w:rsidR="00F923B9" w:rsidRPr="005B3B67" w:rsidRDefault="00F923B9" w:rsidP="00F923B9">
      <w:pPr>
        <w:tabs>
          <w:tab w:val="left" w:pos="2835"/>
          <w:tab w:val="left" w:pos="5670"/>
          <w:tab w:val="left" w:pos="7230"/>
        </w:tabs>
        <w:spacing w:after="60"/>
        <w:rPr>
          <w:rFonts w:cstheme="minorHAnsi"/>
          <w:b/>
          <w:sz w:val="20"/>
          <w:szCs w:val="20"/>
        </w:rPr>
      </w:pPr>
      <w:r w:rsidRPr="005B3B67">
        <w:rPr>
          <w:rFonts w:cstheme="minorHAnsi"/>
          <w:b/>
          <w:sz w:val="20"/>
          <w:szCs w:val="20"/>
        </w:rPr>
        <w:t>La participation financière comprend l’inscription, les ateliers et conférences de chaque journée et les repas du midi.</w:t>
      </w:r>
    </w:p>
    <w:p w:rsidR="006077EA" w:rsidRPr="005B3B67" w:rsidRDefault="006077EA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Paiement si possible par virement (TPST LO), sinon par chèque bancaire à l’inscription.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1633"/>
      </w:tblGrid>
      <w:tr w:rsidR="006077EA" w:rsidRPr="005B3B67" w:rsidTr="006077EA"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Code banque</w:t>
            </w:r>
          </w:p>
        </w:tc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Code guichet</w:t>
            </w:r>
          </w:p>
        </w:tc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N° compte</w:t>
            </w:r>
          </w:p>
        </w:tc>
        <w:tc>
          <w:tcPr>
            <w:tcW w:w="1633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clé</w:t>
            </w:r>
          </w:p>
        </w:tc>
      </w:tr>
      <w:tr w:rsidR="006077EA" w:rsidRPr="005B3B67" w:rsidTr="006077EA"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10071</w:t>
            </w:r>
          </w:p>
        </w:tc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50000</w:t>
            </w:r>
          </w:p>
        </w:tc>
        <w:tc>
          <w:tcPr>
            <w:tcW w:w="2620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00002000067</w:t>
            </w:r>
          </w:p>
        </w:tc>
        <w:tc>
          <w:tcPr>
            <w:tcW w:w="1633" w:type="dxa"/>
          </w:tcPr>
          <w:p w:rsidR="006077EA" w:rsidRPr="005B3B67" w:rsidRDefault="006077EA" w:rsidP="006077EA">
            <w:pPr>
              <w:tabs>
                <w:tab w:val="left" w:pos="2127"/>
                <w:tab w:val="left" w:pos="5670"/>
                <w:tab w:val="left" w:pos="72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B3B67">
              <w:rPr>
                <w:rFonts w:cstheme="minorHAnsi"/>
                <w:sz w:val="20"/>
                <w:szCs w:val="20"/>
              </w:rPr>
              <w:t>87</w:t>
            </w:r>
          </w:p>
        </w:tc>
      </w:tr>
    </w:tbl>
    <w:p w:rsidR="006077EA" w:rsidRPr="00F923B9" w:rsidRDefault="00F923B9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F923B9">
        <w:rPr>
          <w:rFonts w:cstheme="minorHAnsi"/>
          <w:sz w:val="20"/>
          <w:szCs w:val="20"/>
        </w:rPr>
        <w:t>Merci de privilégier un règlement groupé dans le cas où il y ait plusieurs participants par SDIS.</w:t>
      </w:r>
    </w:p>
    <w:p w:rsidR="00E44BCC" w:rsidRPr="005B3B67" w:rsidRDefault="00E44BCC" w:rsidP="004370E4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b/>
          <w:sz w:val="20"/>
          <w:szCs w:val="20"/>
        </w:rPr>
      </w:pPr>
    </w:p>
    <w:p w:rsidR="00D61401" w:rsidRPr="005B3B67" w:rsidRDefault="00D61401" w:rsidP="004370E4">
      <w:pPr>
        <w:tabs>
          <w:tab w:val="left" w:pos="2127"/>
          <w:tab w:val="left" w:pos="5670"/>
          <w:tab w:val="left" w:pos="7230"/>
        </w:tabs>
        <w:spacing w:after="12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Possibilité de participer</w:t>
      </w:r>
      <w:r w:rsidR="00991193" w:rsidRPr="005B3B67">
        <w:rPr>
          <w:rFonts w:cstheme="minorHAnsi"/>
          <w:sz w:val="20"/>
          <w:szCs w:val="20"/>
        </w:rPr>
        <w:t>,</w:t>
      </w:r>
      <w:r w:rsidRPr="005B3B67">
        <w:rPr>
          <w:rFonts w:cstheme="minorHAnsi"/>
          <w:sz w:val="20"/>
          <w:szCs w:val="20"/>
        </w:rPr>
        <w:t xml:space="preserve"> </w:t>
      </w:r>
      <w:r w:rsidR="00991193" w:rsidRPr="005B3B67">
        <w:rPr>
          <w:rFonts w:cstheme="minorHAnsi"/>
          <w:sz w:val="20"/>
          <w:szCs w:val="20"/>
        </w:rPr>
        <w:t xml:space="preserve">en soirée </w:t>
      </w:r>
      <w:r w:rsidR="00091DB8">
        <w:rPr>
          <w:rFonts w:cstheme="minorHAnsi"/>
          <w:sz w:val="20"/>
          <w:szCs w:val="20"/>
        </w:rPr>
        <w:t>mercredi</w:t>
      </w:r>
      <w:r w:rsidR="00991193" w:rsidRPr="005B3B67">
        <w:rPr>
          <w:rFonts w:cstheme="minorHAnsi"/>
          <w:sz w:val="20"/>
          <w:szCs w:val="20"/>
        </w:rPr>
        <w:t xml:space="preserve"> 17, </w:t>
      </w:r>
      <w:r w:rsidRPr="005B3B67">
        <w:rPr>
          <w:rFonts w:cstheme="minorHAnsi"/>
          <w:sz w:val="20"/>
          <w:szCs w:val="20"/>
        </w:rPr>
        <w:t>à une visite conférence de la ville de Granville par un guide professionnel</w:t>
      </w:r>
      <w:r w:rsidR="00A21A71" w:rsidRPr="005B3B67">
        <w:rPr>
          <w:rFonts w:cstheme="minorHAnsi"/>
          <w:sz w:val="20"/>
          <w:szCs w:val="20"/>
        </w:rPr>
        <w:t>, organisée par l’office du tourisme</w:t>
      </w:r>
      <w:r w:rsidR="00871D0A" w:rsidRPr="005B3B67">
        <w:rPr>
          <w:rFonts w:cstheme="minorHAnsi"/>
          <w:sz w:val="20"/>
          <w:szCs w:val="20"/>
        </w:rPr>
        <w:t>.</w:t>
      </w:r>
    </w:p>
    <w:p w:rsidR="00A21A71" w:rsidRPr="005B3B67" w:rsidRDefault="00A21A71" w:rsidP="00A21A71">
      <w:pPr>
        <w:tabs>
          <w:tab w:val="left" w:pos="2127"/>
          <w:tab w:val="left" w:pos="5670"/>
          <w:tab w:val="left" w:pos="7230"/>
        </w:tabs>
        <w:spacing w:after="12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</w:t>
      </w:r>
      <w:r w:rsidR="00504FA4" w:rsidRPr="005B3B67">
        <w:rPr>
          <w:rFonts w:cstheme="minorHAnsi"/>
          <w:sz w:val="20"/>
          <w:szCs w:val="20"/>
        </w:rPr>
        <w:t>Participation</w:t>
      </w:r>
      <w:r w:rsidRPr="005B3B67">
        <w:rPr>
          <w:rFonts w:cstheme="minorHAnsi"/>
          <w:sz w:val="20"/>
          <w:szCs w:val="20"/>
        </w:rPr>
        <w:t xml:space="preserve"> à la visite guidée</w:t>
      </w:r>
      <w:r w:rsidR="00991193" w:rsidRPr="005B3B67">
        <w:rPr>
          <w:rFonts w:cstheme="minorHAnsi"/>
          <w:sz w:val="20"/>
          <w:szCs w:val="20"/>
        </w:rPr>
        <w:t xml:space="preserve"> </w:t>
      </w:r>
      <w:r w:rsidR="00091DB8">
        <w:rPr>
          <w:rFonts w:cstheme="minorHAnsi"/>
          <w:sz w:val="20"/>
          <w:szCs w:val="20"/>
        </w:rPr>
        <w:t>mercredi</w:t>
      </w:r>
      <w:r w:rsidR="00991193" w:rsidRPr="005B3B67">
        <w:rPr>
          <w:rFonts w:cstheme="minorHAnsi"/>
          <w:sz w:val="20"/>
          <w:szCs w:val="20"/>
        </w:rPr>
        <w:t xml:space="preserve"> 17</w:t>
      </w:r>
      <w:r w:rsidR="006077EA" w:rsidRPr="005B3B67">
        <w:rPr>
          <w:rFonts w:cstheme="minorHAnsi"/>
          <w:sz w:val="20"/>
          <w:szCs w:val="20"/>
        </w:rPr>
        <w:t xml:space="preserve"> </w:t>
      </w:r>
    </w:p>
    <w:p w:rsidR="00E30148" w:rsidRPr="005B3B67" w:rsidRDefault="00E30148" w:rsidP="00991193">
      <w:pPr>
        <w:tabs>
          <w:tab w:val="left" w:pos="2127"/>
          <w:tab w:val="left" w:pos="5670"/>
          <w:tab w:val="left" w:pos="7230"/>
        </w:tabs>
        <w:spacing w:after="0"/>
        <w:rPr>
          <w:rFonts w:cstheme="minorHAnsi"/>
          <w:sz w:val="20"/>
          <w:szCs w:val="20"/>
        </w:rPr>
      </w:pPr>
    </w:p>
    <w:p w:rsidR="00340DBF" w:rsidRPr="005B3B67" w:rsidRDefault="00340DBF" w:rsidP="00340DBF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 w:rsidRPr="005B3B67">
        <w:rPr>
          <w:rFonts w:cstheme="minorHAnsi"/>
          <w:b/>
          <w:sz w:val="20"/>
          <w:szCs w:val="20"/>
          <w:u w:val="single"/>
        </w:rPr>
        <w:t>Participation aux ateliers</w:t>
      </w:r>
      <w:r w:rsidR="003213C0" w:rsidRPr="005B3B67">
        <w:rPr>
          <w:rFonts w:cstheme="minorHAnsi"/>
          <w:b/>
          <w:sz w:val="20"/>
          <w:szCs w:val="20"/>
          <w:u w:val="single"/>
        </w:rPr>
        <w:t xml:space="preserve"> (en fonction des places disponibles sur chaque atelier)</w:t>
      </w:r>
    </w:p>
    <w:p w:rsidR="00340DBF" w:rsidRPr="005B3B67" w:rsidRDefault="00340DBF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Je souhaite préférentiellement participer à :</w:t>
      </w:r>
    </w:p>
    <w:p w:rsidR="00340DBF" w:rsidRPr="005B3B67" w:rsidRDefault="00340DBF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Atelier 1 : </w:t>
      </w:r>
      <w:r w:rsidR="00924F37">
        <w:rPr>
          <w:rFonts w:cstheme="minorHAnsi"/>
          <w:sz w:val="20"/>
          <w:szCs w:val="20"/>
        </w:rPr>
        <w:t>L</w:t>
      </w:r>
      <w:r w:rsidRPr="005B3B67">
        <w:rPr>
          <w:rFonts w:cstheme="minorHAnsi"/>
          <w:sz w:val="20"/>
          <w:szCs w:val="20"/>
        </w:rPr>
        <w:t>es processus de remontée d’information pour établir un retex</w:t>
      </w:r>
    </w:p>
    <w:p w:rsidR="004370E4" w:rsidRPr="005B3B67" w:rsidRDefault="00340DBF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ab/>
      </w:r>
      <w:r w:rsidRPr="005B3B67">
        <w:rPr>
          <w:rFonts w:cstheme="minorHAnsi"/>
          <w:sz w:val="20"/>
          <w:szCs w:val="20"/>
        </w:rPr>
        <w:sym w:font="Wingdings" w:char="F0A8"/>
      </w:r>
      <w:r w:rsidRPr="005B3B67">
        <w:rPr>
          <w:rFonts w:cstheme="minorHAnsi"/>
          <w:sz w:val="20"/>
          <w:szCs w:val="20"/>
        </w:rPr>
        <w:t xml:space="preserve"> Atelier 2 : </w:t>
      </w:r>
      <w:r w:rsidR="00BD51CB" w:rsidRPr="005B3B67">
        <w:rPr>
          <w:rFonts w:cstheme="minorHAnsi"/>
          <w:sz w:val="20"/>
          <w:szCs w:val="20"/>
        </w:rPr>
        <w:t>La pratique du Retex pour l’évolution de la doctrine dans le SUAP</w:t>
      </w:r>
    </w:p>
    <w:p w:rsidR="0006211A" w:rsidRPr="005B3B67" w:rsidRDefault="0006211A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</w:p>
    <w:p w:rsidR="004370E4" w:rsidRPr="005B3B67" w:rsidRDefault="00F923B9" w:rsidP="004370E4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Hébergement</w:t>
      </w:r>
    </w:p>
    <w:p w:rsidR="004370E4" w:rsidRPr="005B3B67" w:rsidRDefault="004370E4" w:rsidP="00340DBF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Hôtels les plus proches de la salle de conférences :</w:t>
      </w:r>
    </w:p>
    <w:p w:rsidR="004370E4" w:rsidRPr="005B3B67" w:rsidRDefault="004370E4" w:rsidP="004370E4">
      <w:pPr>
        <w:pStyle w:val="Paragraphedeliste"/>
        <w:numPr>
          <w:ilvl w:val="0"/>
          <w:numId w:val="7"/>
        </w:num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Hôtel IBIS</w:t>
      </w:r>
      <w:r w:rsidR="00B5790E" w:rsidRPr="005B3B67">
        <w:rPr>
          <w:rFonts w:cstheme="minorHAnsi"/>
          <w:sz w:val="20"/>
          <w:szCs w:val="20"/>
        </w:rPr>
        <w:t xml:space="preserve"> Tél </w:t>
      </w:r>
      <w:r w:rsidR="002E2734">
        <w:rPr>
          <w:rFonts w:cstheme="minorHAnsi"/>
          <w:sz w:val="20"/>
          <w:szCs w:val="20"/>
        </w:rPr>
        <w:t xml:space="preserve">02 33 90 48 08 </w:t>
      </w:r>
    </w:p>
    <w:p w:rsidR="004370E4" w:rsidRPr="005B3B67" w:rsidRDefault="004370E4" w:rsidP="004370E4">
      <w:pPr>
        <w:pStyle w:val="Paragraphedeliste"/>
        <w:numPr>
          <w:ilvl w:val="0"/>
          <w:numId w:val="7"/>
        </w:num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Hôtel des bains</w:t>
      </w:r>
      <w:r w:rsidR="00B5790E" w:rsidRPr="005B3B67">
        <w:rPr>
          <w:rFonts w:cstheme="minorHAnsi"/>
          <w:sz w:val="20"/>
          <w:szCs w:val="20"/>
        </w:rPr>
        <w:t xml:space="preserve"> Tél 02 33 50 17 31 – ho</w:t>
      </w:r>
      <w:r w:rsidR="00EF7E66" w:rsidRPr="005B3B67">
        <w:rPr>
          <w:rFonts w:cstheme="minorHAnsi"/>
          <w:sz w:val="20"/>
          <w:szCs w:val="20"/>
        </w:rPr>
        <w:t>t</w:t>
      </w:r>
      <w:r w:rsidR="00B5790E" w:rsidRPr="005B3B67">
        <w:rPr>
          <w:rFonts w:cstheme="minorHAnsi"/>
          <w:sz w:val="20"/>
          <w:szCs w:val="20"/>
        </w:rPr>
        <w:t>eldbains@yahoo.fr</w:t>
      </w:r>
    </w:p>
    <w:p w:rsidR="004370E4" w:rsidRPr="005B3B67" w:rsidRDefault="004370E4" w:rsidP="004370E4">
      <w:pPr>
        <w:pStyle w:val="Paragraphedeliste"/>
        <w:numPr>
          <w:ilvl w:val="0"/>
          <w:numId w:val="7"/>
        </w:num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 xml:space="preserve">Hôtel </w:t>
      </w:r>
      <w:r w:rsidR="00AC613D" w:rsidRPr="005B3B67">
        <w:rPr>
          <w:rFonts w:cstheme="minorHAnsi"/>
          <w:sz w:val="20"/>
          <w:szCs w:val="20"/>
        </w:rPr>
        <w:t>a</w:t>
      </w:r>
      <w:r w:rsidRPr="005B3B67">
        <w:rPr>
          <w:rFonts w:cstheme="minorHAnsi"/>
          <w:sz w:val="20"/>
          <w:szCs w:val="20"/>
        </w:rPr>
        <w:t>u bout du quai</w:t>
      </w:r>
      <w:r w:rsidR="00B5790E" w:rsidRPr="005B3B67">
        <w:rPr>
          <w:rFonts w:cstheme="minorHAnsi"/>
          <w:sz w:val="20"/>
          <w:szCs w:val="20"/>
        </w:rPr>
        <w:t xml:space="preserve"> Tél 02 33 50 02 05 </w:t>
      </w:r>
      <w:r w:rsidR="00AC613D" w:rsidRPr="005B3B67">
        <w:rPr>
          <w:rFonts w:cstheme="minorHAnsi"/>
          <w:sz w:val="20"/>
          <w:szCs w:val="20"/>
        </w:rPr>
        <w:t>–</w:t>
      </w:r>
      <w:r w:rsidR="00B5790E" w:rsidRPr="005B3B67">
        <w:rPr>
          <w:rFonts w:cstheme="minorHAnsi"/>
          <w:sz w:val="20"/>
          <w:szCs w:val="20"/>
        </w:rPr>
        <w:t xml:space="preserve"> </w:t>
      </w:r>
      <w:hyperlink r:id="rId10" w:history="1">
        <w:r w:rsidR="00283D56" w:rsidRPr="005B3B67">
          <w:rPr>
            <w:rStyle w:val="Lienhypertexte"/>
            <w:rFonts w:cstheme="minorHAnsi"/>
            <w:sz w:val="20"/>
            <w:szCs w:val="20"/>
          </w:rPr>
          <w:t>hotelauboutduquai@free.fr</w:t>
        </w:r>
      </w:hyperlink>
    </w:p>
    <w:p w:rsidR="00283D56" w:rsidRPr="005B3B67" w:rsidRDefault="00283D56" w:rsidP="00283D56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Réservation par mail ou téléphone en mentionnant le code « congrès pompier »</w:t>
      </w:r>
      <w:r w:rsidR="002E2734">
        <w:rPr>
          <w:rFonts w:cstheme="minorHAnsi"/>
          <w:sz w:val="20"/>
          <w:szCs w:val="20"/>
        </w:rPr>
        <w:t>.</w:t>
      </w:r>
    </w:p>
    <w:p w:rsidR="00D801F2" w:rsidRPr="005B3B67" w:rsidRDefault="00D801F2" w:rsidP="00283D56">
      <w:pPr>
        <w:tabs>
          <w:tab w:val="left" w:pos="2127"/>
          <w:tab w:val="left" w:pos="5670"/>
          <w:tab w:val="left" w:pos="7230"/>
        </w:tabs>
        <w:spacing w:after="60"/>
        <w:rPr>
          <w:rFonts w:cstheme="minorHAnsi"/>
          <w:sz w:val="20"/>
          <w:szCs w:val="20"/>
        </w:rPr>
      </w:pPr>
    </w:p>
    <w:p w:rsidR="00D801F2" w:rsidRPr="00F94F65" w:rsidRDefault="004370E4" w:rsidP="00F94F65">
      <w:pPr>
        <w:pStyle w:val="Paragraphedeliste"/>
        <w:numPr>
          <w:ilvl w:val="0"/>
          <w:numId w:val="8"/>
        </w:numPr>
        <w:tabs>
          <w:tab w:val="left" w:pos="1134"/>
          <w:tab w:val="left" w:pos="2268"/>
          <w:tab w:val="left" w:pos="7230"/>
        </w:tabs>
        <w:spacing w:after="60"/>
        <w:rPr>
          <w:rFonts w:cstheme="minorHAnsi"/>
          <w:b/>
          <w:sz w:val="20"/>
          <w:szCs w:val="20"/>
          <w:u w:val="single"/>
        </w:rPr>
      </w:pPr>
      <w:r w:rsidRPr="00F94F65">
        <w:rPr>
          <w:rFonts w:cstheme="minorHAnsi"/>
          <w:b/>
          <w:sz w:val="20"/>
          <w:szCs w:val="20"/>
          <w:u w:val="single"/>
        </w:rPr>
        <w:t>Votre moyen de transport :</w:t>
      </w:r>
      <w:r w:rsidRPr="00F94F65">
        <w:rPr>
          <w:rFonts w:cstheme="minorHAnsi"/>
          <w:b/>
          <w:sz w:val="20"/>
          <w:szCs w:val="20"/>
        </w:rPr>
        <w:t xml:space="preserve"> </w:t>
      </w:r>
      <w:r w:rsidR="00F94F65">
        <w:rPr>
          <w:rFonts w:cstheme="minorHAnsi"/>
          <w:b/>
          <w:sz w:val="20"/>
          <w:szCs w:val="20"/>
        </w:rPr>
        <w:t xml:space="preserve">                   </w:t>
      </w:r>
      <w:r w:rsidR="00F94F65" w:rsidRPr="00F94F65">
        <w:rPr>
          <w:rFonts w:cstheme="minorHAnsi"/>
          <w:b/>
          <w:sz w:val="20"/>
          <w:szCs w:val="20"/>
        </w:rPr>
        <w:t xml:space="preserve">  </w:t>
      </w:r>
      <w:r w:rsidR="00F94F65" w:rsidRPr="005B3B67">
        <w:sym w:font="Wingdings" w:char="F0A8"/>
      </w:r>
      <w:r w:rsidR="00F94F65">
        <w:rPr>
          <w:rFonts w:cstheme="minorHAnsi"/>
          <w:sz w:val="20"/>
          <w:szCs w:val="20"/>
        </w:rPr>
        <w:t xml:space="preserve"> VL          </w:t>
      </w:r>
      <w:r w:rsidR="00F94F65" w:rsidRPr="005B3B67">
        <w:sym w:font="Wingdings" w:char="F0A8"/>
      </w:r>
      <w:r w:rsidR="00F94F65" w:rsidRPr="00F94F65">
        <w:rPr>
          <w:rFonts w:cstheme="minorHAnsi"/>
          <w:sz w:val="20"/>
          <w:szCs w:val="20"/>
        </w:rPr>
        <w:t xml:space="preserve"> Train</w:t>
      </w:r>
      <w:r w:rsidR="00F94F65">
        <w:rPr>
          <w:rFonts w:cstheme="minorHAnsi"/>
          <w:sz w:val="20"/>
          <w:szCs w:val="20"/>
        </w:rPr>
        <w:t xml:space="preserve">          </w:t>
      </w:r>
      <w:r w:rsidR="00F94F65" w:rsidRPr="005B3B67">
        <w:sym w:font="Wingdings" w:char="F0A8"/>
      </w:r>
      <w:r w:rsidR="00F94F65" w:rsidRPr="00F94F65">
        <w:rPr>
          <w:rFonts w:cstheme="minorHAnsi"/>
          <w:sz w:val="20"/>
          <w:szCs w:val="20"/>
        </w:rPr>
        <w:t xml:space="preserve"> Autre : </w:t>
      </w:r>
    </w:p>
    <w:p w:rsidR="00D61401" w:rsidRDefault="00D61401" w:rsidP="00283D56">
      <w:pPr>
        <w:tabs>
          <w:tab w:val="left" w:pos="1134"/>
          <w:tab w:val="left" w:pos="5812"/>
          <w:tab w:val="left" w:pos="7230"/>
        </w:tabs>
        <w:spacing w:after="60"/>
        <w:rPr>
          <w:rFonts w:cstheme="minorHAnsi"/>
          <w:sz w:val="20"/>
          <w:szCs w:val="20"/>
        </w:rPr>
      </w:pPr>
      <w:r w:rsidRPr="005B3B67">
        <w:rPr>
          <w:rFonts w:cstheme="minorHAnsi"/>
          <w:sz w:val="20"/>
          <w:szCs w:val="20"/>
        </w:rPr>
        <w:t>Heure d’arrivée </w:t>
      </w:r>
      <w:r w:rsidR="00283D56" w:rsidRPr="005B3B67">
        <w:rPr>
          <w:rFonts w:cstheme="minorHAnsi"/>
          <w:sz w:val="20"/>
          <w:szCs w:val="20"/>
        </w:rPr>
        <w:t xml:space="preserve">gare de Granville </w:t>
      </w:r>
      <w:r w:rsidRPr="005B3B67">
        <w:rPr>
          <w:rFonts w:cstheme="minorHAnsi"/>
          <w:sz w:val="20"/>
          <w:szCs w:val="20"/>
        </w:rPr>
        <w:t>(mise en place d’une navette de l’hôtel à la gare)</w:t>
      </w:r>
      <w:r w:rsidR="00871D0A" w:rsidRPr="005B3B67">
        <w:rPr>
          <w:rFonts w:cstheme="minorHAnsi"/>
          <w:sz w:val="20"/>
          <w:szCs w:val="20"/>
        </w:rPr>
        <w:t> :</w:t>
      </w:r>
    </w:p>
    <w:p w:rsidR="005A00EA" w:rsidRDefault="005A00EA" w:rsidP="00283D56">
      <w:pPr>
        <w:tabs>
          <w:tab w:val="left" w:pos="1134"/>
          <w:tab w:val="left" w:pos="5812"/>
          <w:tab w:val="left" w:pos="7230"/>
        </w:tabs>
        <w:spacing w:after="60"/>
        <w:rPr>
          <w:rFonts w:cstheme="minorHAnsi"/>
          <w:sz w:val="20"/>
          <w:szCs w:val="20"/>
        </w:rPr>
      </w:pPr>
    </w:p>
    <w:p w:rsidR="0057661C" w:rsidRPr="005B3B67" w:rsidRDefault="00670CE6" w:rsidP="006077EA">
      <w:pPr>
        <w:tabs>
          <w:tab w:val="left" w:pos="1134"/>
          <w:tab w:val="left" w:pos="4678"/>
          <w:tab w:val="left" w:pos="5812"/>
        </w:tabs>
        <w:spacing w:after="60"/>
        <w:rPr>
          <w:rFonts w:cstheme="minorHAnsi"/>
          <w:sz w:val="20"/>
          <w:szCs w:val="20"/>
        </w:rPr>
        <w:sectPr w:rsidR="0057661C" w:rsidRPr="005B3B67" w:rsidSect="00991193">
          <w:footerReference w:type="default" r:id="rId11"/>
          <w:pgSz w:w="11906" w:h="16838"/>
          <w:pgMar w:top="426" w:right="707" w:bottom="284" w:left="709" w:header="708" w:footer="77" w:gutter="0"/>
          <w:cols w:space="708"/>
          <w:docGrid w:linePitch="360"/>
        </w:sectPr>
      </w:pPr>
      <w:r w:rsidRPr="005B3B67">
        <w:rPr>
          <w:rFonts w:cstheme="minorHAnsi"/>
          <w:b/>
          <w:sz w:val="20"/>
          <w:szCs w:val="20"/>
        </w:rPr>
        <w:t>Signature du participant</w:t>
      </w:r>
      <w:r w:rsidRPr="005B3B67">
        <w:rPr>
          <w:rFonts w:cstheme="minorHAnsi"/>
          <w:b/>
          <w:sz w:val="20"/>
          <w:szCs w:val="20"/>
        </w:rPr>
        <w:tab/>
      </w:r>
      <w:r w:rsidR="00E30148" w:rsidRPr="005B3B67">
        <w:rPr>
          <w:rFonts w:cstheme="minorHAnsi"/>
          <w:b/>
          <w:sz w:val="20"/>
          <w:szCs w:val="20"/>
        </w:rPr>
        <w:t>Signature obligatoire de l’autorité territoriale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333"/>
        <w:gridCol w:w="7333"/>
      </w:tblGrid>
      <w:tr w:rsidR="0057661C" w:rsidTr="00E0443B">
        <w:trPr>
          <w:trHeight w:val="693"/>
          <w:jc w:val="center"/>
        </w:trPr>
        <w:tc>
          <w:tcPr>
            <w:tcW w:w="733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E7E6E6" w:themeFill="background2"/>
            <w:vAlign w:val="center"/>
          </w:tcPr>
          <w:p w:rsidR="0057661C" w:rsidRPr="00840EB9" w:rsidRDefault="00840EB9" w:rsidP="005272FA">
            <w:pPr>
              <w:tabs>
                <w:tab w:val="left" w:pos="1134"/>
                <w:tab w:val="left" w:pos="4678"/>
                <w:tab w:val="left" w:pos="7230"/>
              </w:tabs>
              <w:spacing w:before="120" w:after="60"/>
              <w:jc w:val="center"/>
              <w:rPr>
                <w:b/>
              </w:rPr>
            </w:pPr>
            <w:r w:rsidRPr="00840EB9"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37465</wp:posOffset>
                  </wp:positionV>
                  <wp:extent cx="266700" cy="36449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61C" w:rsidRPr="00840EB9">
              <w:rPr>
                <w:b/>
              </w:rPr>
              <w:t>PROGRAMME JOUR 1</w:t>
            </w:r>
            <w:r w:rsidR="005272FA">
              <w:rPr>
                <w:b/>
              </w:rPr>
              <w:t xml:space="preserve"> / Mercredi 17 octobre 2018</w:t>
            </w:r>
          </w:p>
        </w:tc>
        <w:tc>
          <w:tcPr>
            <w:tcW w:w="733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E7E6E6" w:themeFill="background2"/>
            <w:vAlign w:val="center"/>
          </w:tcPr>
          <w:p w:rsidR="0057661C" w:rsidRPr="00840EB9" w:rsidRDefault="0057661C" w:rsidP="005272FA">
            <w:pPr>
              <w:tabs>
                <w:tab w:val="left" w:pos="1134"/>
                <w:tab w:val="left" w:pos="4678"/>
                <w:tab w:val="left" w:pos="7230"/>
              </w:tabs>
              <w:spacing w:before="120" w:after="60"/>
              <w:jc w:val="center"/>
              <w:rPr>
                <w:b/>
              </w:rPr>
            </w:pPr>
            <w:r w:rsidRPr="00840EB9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21</wp:posOffset>
                  </wp:positionV>
                  <wp:extent cx="278780" cy="381000"/>
                  <wp:effectExtent l="0" t="0" r="698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40EB9">
              <w:rPr>
                <w:b/>
              </w:rPr>
              <w:t>PROGRAMME JOUR 2</w:t>
            </w:r>
            <w:r w:rsidR="005272FA">
              <w:rPr>
                <w:b/>
              </w:rPr>
              <w:t xml:space="preserve"> / Jeudi 18 octobre 2018</w:t>
            </w:r>
          </w:p>
        </w:tc>
      </w:tr>
      <w:tr w:rsidR="0057661C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57661C" w:rsidRPr="00066265" w:rsidRDefault="0002777E" w:rsidP="00E0443B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center"/>
              <w:rPr>
                <w:b/>
                <w:noProof/>
                <w:lang w:eastAsia="fr-FR"/>
              </w:rPr>
            </w:pPr>
            <w:r w:rsidRPr="00066265">
              <w:rPr>
                <w:b/>
                <w:noProof/>
                <w:color w:val="002060"/>
                <w:lang w:eastAsia="fr-FR"/>
              </w:rPr>
              <w:t>Matin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57661C" w:rsidRDefault="0062728A" w:rsidP="00E0443B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center"/>
              <w:rPr>
                <w:noProof/>
                <w:lang w:eastAsia="fr-FR"/>
              </w:rPr>
            </w:pPr>
            <w:r w:rsidRPr="00066265">
              <w:rPr>
                <w:b/>
                <w:noProof/>
                <w:color w:val="002060"/>
                <w:lang w:eastAsia="fr-FR"/>
              </w:rPr>
              <w:t>Matin</w:t>
            </w:r>
          </w:p>
        </w:tc>
      </w:tr>
      <w:tr w:rsidR="0062728A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2728A" w:rsidRDefault="0062728A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8h30</w:t>
            </w:r>
            <w:r>
              <w:rPr>
                <w:noProof/>
                <w:lang w:eastAsia="fr-FR"/>
              </w:rPr>
              <w:tab/>
            </w:r>
            <w:r w:rsidRPr="0002777E">
              <w:rPr>
                <w:i/>
                <w:noProof/>
                <w:lang w:eastAsia="fr-FR"/>
              </w:rPr>
              <w:t>Accueil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2728A" w:rsidRDefault="0062728A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8h</w:t>
            </w:r>
            <w:r w:rsidR="00E6245F">
              <w:rPr>
                <w:noProof/>
                <w:lang w:eastAsia="fr-FR"/>
              </w:rPr>
              <w:t>30</w:t>
            </w:r>
            <w:r>
              <w:rPr>
                <w:noProof/>
                <w:lang w:eastAsia="fr-FR"/>
              </w:rPr>
              <w:tab/>
            </w:r>
            <w:r w:rsidRPr="0002777E">
              <w:rPr>
                <w:i/>
                <w:noProof/>
                <w:lang w:eastAsia="fr-FR"/>
              </w:rPr>
              <w:t>Accueil</w:t>
            </w: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9h00</w:t>
            </w:r>
            <w:r>
              <w:rPr>
                <w:noProof/>
                <w:lang w:eastAsia="fr-FR"/>
              </w:rPr>
              <w:tab/>
              <w:t>Mot d’ouverture par les autorités</w:t>
            </w:r>
          </w:p>
        </w:tc>
        <w:tc>
          <w:tcPr>
            <w:tcW w:w="7333" w:type="dxa"/>
            <w:vMerge w:val="restart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D45246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8h</w:t>
            </w:r>
            <w:r w:rsidR="00E6245F">
              <w:rPr>
                <w:noProof/>
                <w:lang w:eastAsia="fr-FR"/>
              </w:rPr>
              <w:t>45</w:t>
            </w:r>
            <w:r w:rsidRPr="0094096D">
              <w:rPr>
                <w:noProof/>
                <w:color w:val="FF0000"/>
                <w:lang w:eastAsia="fr-FR"/>
              </w:rPr>
              <w:tab/>
            </w:r>
            <w:r w:rsidR="00E6245F" w:rsidRPr="00302B44">
              <w:rPr>
                <w:noProof/>
                <w:u w:val="single"/>
                <w:lang w:eastAsia="fr-FR"/>
              </w:rPr>
              <w:t>Conférence 3</w:t>
            </w:r>
            <w:r w:rsidR="00E6245F" w:rsidRPr="00302B44">
              <w:rPr>
                <w:noProof/>
                <w:lang w:eastAsia="fr-FR"/>
              </w:rPr>
              <w:t> : P</w:t>
            </w:r>
            <w:r w:rsidR="00840EB9" w:rsidRPr="00302B44">
              <w:rPr>
                <w:noProof/>
                <w:lang w:eastAsia="fr-FR"/>
              </w:rPr>
              <w:t xml:space="preserve">ex tempête IRMA </w:t>
            </w:r>
          </w:p>
        </w:tc>
      </w:tr>
      <w:tr w:rsidR="006E5937" w:rsidTr="002E2734">
        <w:trPr>
          <w:trHeight w:val="329"/>
          <w:jc w:val="center"/>
        </w:trPr>
        <w:tc>
          <w:tcPr>
            <w:tcW w:w="7333" w:type="dxa"/>
            <w:vMerge w:val="restart"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9h30 </w:t>
            </w:r>
            <w:r>
              <w:rPr>
                <w:noProof/>
                <w:lang w:eastAsia="fr-FR"/>
              </w:rPr>
              <w:tab/>
            </w:r>
            <w:r w:rsidR="00E6245F" w:rsidRPr="00E6245F">
              <w:rPr>
                <w:noProof/>
                <w:u w:val="single"/>
                <w:lang w:eastAsia="fr-FR"/>
              </w:rPr>
              <w:t>Conférence 1</w:t>
            </w:r>
            <w:r w:rsidR="00E6245F">
              <w:rPr>
                <w:noProof/>
                <w:lang w:eastAsia="fr-FR"/>
              </w:rPr>
              <w:t xml:space="preserve"> : </w:t>
            </w:r>
            <w:r>
              <w:rPr>
                <w:noProof/>
                <w:lang w:eastAsia="fr-FR"/>
              </w:rPr>
              <w:t>« Apprendre de ses échecs et se relever plus fort » Présentation de la démarche commune SDIS 50/SAMU et SDIS 50/FDGDON (lutte contre le frelon asiatique)</w:t>
            </w:r>
          </w:p>
        </w:tc>
        <w:tc>
          <w:tcPr>
            <w:tcW w:w="7333" w:type="dxa"/>
            <w:vMerge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</w:p>
        </w:tc>
      </w:tr>
      <w:tr w:rsidR="00D16681" w:rsidTr="00E0443B">
        <w:trPr>
          <w:trHeight w:val="454"/>
          <w:jc w:val="center"/>
        </w:trPr>
        <w:tc>
          <w:tcPr>
            <w:tcW w:w="7333" w:type="dxa"/>
            <w:vMerge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</w:p>
        </w:tc>
        <w:tc>
          <w:tcPr>
            <w:tcW w:w="7333" w:type="dxa"/>
            <w:vMerge w:val="restart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9h</w:t>
            </w:r>
            <w:r w:rsidR="00E6245F">
              <w:rPr>
                <w:noProof/>
                <w:lang w:eastAsia="fr-FR"/>
              </w:rPr>
              <w:t>45</w:t>
            </w:r>
            <w:r>
              <w:rPr>
                <w:noProof/>
                <w:lang w:eastAsia="fr-FR"/>
              </w:rPr>
              <w:tab/>
            </w:r>
            <w:r w:rsidR="00E6245F" w:rsidRPr="00E6245F">
              <w:rPr>
                <w:noProof/>
                <w:u w:val="single"/>
                <w:lang w:eastAsia="fr-FR"/>
              </w:rPr>
              <w:t>Conférence 4</w:t>
            </w:r>
            <w:r w:rsidR="00E6245F">
              <w:rPr>
                <w:noProof/>
                <w:lang w:eastAsia="fr-FR"/>
              </w:rPr>
              <w:t xml:space="preserve"> : </w:t>
            </w:r>
            <w:r>
              <w:rPr>
                <w:noProof/>
                <w:lang w:eastAsia="fr-FR"/>
              </w:rPr>
              <w:t>Comment une initiative locale a permis le déploiement opérationnel d’un matériel à l’échelle d’un SDIS (le stoppeur de fumée par le SDIS 35)</w:t>
            </w:r>
          </w:p>
        </w:tc>
      </w:tr>
      <w:tr w:rsidR="00D16681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10h45</w:t>
            </w:r>
            <w:r>
              <w:rPr>
                <w:noProof/>
                <w:lang w:eastAsia="fr-FR"/>
              </w:rPr>
              <w:tab/>
            </w:r>
            <w:r w:rsidRPr="0002777E">
              <w:rPr>
                <w:i/>
                <w:noProof/>
                <w:lang w:eastAsia="fr-FR"/>
              </w:rPr>
              <w:t>Pause café</w:t>
            </w:r>
          </w:p>
        </w:tc>
        <w:tc>
          <w:tcPr>
            <w:tcW w:w="7333" w:type="dxa"/>
            <w:vMerge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</w:p>
        </w:tc>
      </w:tr>
      <w:tr w:rsidR="006E5937" w:rsidTr="002E2734">
        <w:trPr>
          <w:trHeight w:val="329"/>
          <w:jc w:val="center"/>
        </w:trPr>
        <w:tc>
          <w:tcPr>
            <w:tcW w:w="7333" w:type="dxa"/>
            <w:vMerge w:val="restart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11h15</w:t>
            </w:r>
            <w:r>
              <w:rPr>
                <w:noProof/>
                <w:lang w:eastAsia="fr-FR"/>
              </w:rPr>
              <w:tab/>
            </w:r>
            <w:r w:rsidR="00E6245F" w:rsidRPr="00E6245F">
              <w:rPr>
                <w:noProof/>
                <w:u w:val="single"/>
                <w:lang w:eastAsia="fr-FR"/>
              </w:rPr>
              <w:t>Conférence 2 :</w:t>
            </w:r>
            <w:r w:rsidR="00E6245F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>« Relations partenaires et performance opérationnelle » Retex ERdF</w:t>
            </w:r>
          </w:p>
        </w:tc>
        <w:tc>
          <w:tcPr>
            <w:tcW w:w="7333" w:type="dxa"/>
            <w:vMerge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vMerge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10h</w:t>
            </w:r>
            <w:r w:rsidR="00E6245F">
              <w:rPr>
                <w:noProof/>
                <w:lang w:eastAsia="fr-FR"/>
              </w:rPr>
              <w:t>30</w:t>
            </w:r>
            <w:r>
              <w:rPr>
                <w:noProof/>
                <w:lang w:eastAsia="fr-FR"/>
              </w:rPr>
              <w:tab/>
            </w:r>
            <w:r w:rsidRPr="007B3A9D">
              <w:rPr>
                <w:i/>
                <w:noProof/>
                <w:lang w:eastAsia="fr-FR"/>
              </w:rPr>
              <w:t>Pause café</w:t>
            </w:r>
          </w:p>
        </w:tc>
      </w:tr>
      <w:tr w:rsidR="00D16681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12h00</w:t>
            </w:r>
            <w:r>
              <w:rPr>
                <w:noProof/>
                <w:lang w:eastAsia="fr-FR"/>
              </w:rPr>
              <w:tab/>
            </w:r>
            <w:r w:rsidR="006077EA">
              <w:rPr>
                <w:noProof/>
                <w:lang w:eastAsia="fr-FR"/>
              </w:rPr>
              <w:t xml:space="preserve"> Echange entre participants et intervenants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924F37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10h</w:t>
            </w:r>
            <w:r w:rsidR="00E6245F">
              <w:rPr>
                <w:noProof/>
                <w:lang w:eastAsia="fr-FR"/>
              </w:rPr>
              <w:t>45</w:t>
            </w:r>
            <w:r>
              <w:rPr>
                <w:noProof/>
                <w:lang w:eastAsia="fr-FR"/>
              </w:rPr>
              <w:tab/>
              <w:t>Echanges entre participants et évaluation de la journée</w:t>
            </w:r>
          </w:p>
        </w:tc>
      </w:tr>
      <w:tr w:rsidR="00D16681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6077EA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13h00</w:t>
            </w:r>
            <w:r>
              <w:rPr>
                <w:noProof/>
                <w:lang w:eastAsia="fr-FR"/>
              </w:rPr>
              <w:tab/>
            </w:r>
            <w:r w:rsidRPr="00066265">
              <w:rPr>
                <w:i/>
                <w:noProof/>
                <w:lang w:eastAsia="fr-FR"/>
              </w:rPr>
              <w:t>Repas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11h</w:t>
            </w:r>
            <w:r w:rsidR="00E6245F">
              <w:rPr>
                <w:noProof/>
                <w:lang w:eastAsia="fr-FR"/>
              </w:rPr>
              <w:t>45</w:t>
            </w:r>
            <w:r>
              <w:rPr>
                <w:noProof/>
                <w:lang w:eastAsia="fr-FR"/>
              </w:rPr>
              <w:tab/>
              <w:t>Restitution plénière des travaux des ateliers</w:t>
            </w:r>
            <w:r w:rsidR="00924F37">
              <w:rPr>
                <w:noProof/>
                <w:lang w:eastAsia="fr-FR"/>
              </w:rPr>
              <w:t xml:space="preserve"> par les participants</w:t>
            </w:r>
          </w:p>
        </w:tc>
      </w:tr>
      <w:tr w:rsidR="00D16681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D16681" w:rsidRDefault="006077EA" w:rsidP="00E0443B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center"/>
              <w:rPr>
                <w:noProof/>
                <w:lang w:eastAsia="fr-FR"/>
              </w:rPr>
            </w:pPr>
            <w:r w:rsidRPr="00066265">
              <w:rPr>
                <w:b/>
                <w:noProof/>
                <w:color w:val="002060"/>
                <w:lang w:eastAsia="fr-FR"/>
              </w:rPr>
              <w:t>Après -midi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D16681" w:rsidRDefault="00D16681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12h</w:t>
            </w:r>
            <w:r w:rsidR="00E6245F">
              <w:rPr>
                <w:noProof/>
                <w:lang w:eastAsia="fr-FR"/>
              </w:rPr>
              <w:t>15</w:t>
            </w:r>
            <w:r>
              <w:rPr>
                <w:noProof/>
                <w:lang w:eastAsia="fr-FR"/>
              </w:rPr>
              <w:tab/>
              <w:t>Mot de clôture</w:t>
            </w: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vMerge w:val="restart"/>
            <w:tcBorders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6E5937" w:rsidRDefault="006E5937" w:rsidP="00924F37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14h30</w:t>
            </w:r>
            <w:r>
              <w:rPr>
                <w:noProof/>
                <w:lang w:eastAsia="fr-FR"/>
              </w:rPr>
              <w:tab/>
            </w:r>
            <w:r w:rsidRPr="006E5937">
              <w:rPr>
                <w:noProof/>
                <w:u w:val="single"/>
                <w:lang w:eastAsia="fr-FR"/>
              </w:rPr>
              <w:t>Atelier 1</w:t>
            </w:r>
            <w:r>
              <w:rPr>
                <w:noProof/>
                <w:lang w:eastAsia="fr-FR"/>
              </w:rPr>
              <w:t xml:space="preserve"> : </w:t>
            </w:r>
            <w:r>
              <w:t xml:space="preserve"> </w:t>
            </w:r>
            <w:r w:rsidR="00924F37">
              <w:t>L</w:t>
            </w:r>
            <w:r>
              <w:t>es processus de remontée d’information pour établir un retex (circuits, modes opératoires, biais et difficultés, …)</w:t>
            </w:r>
            <w:r w:rsidR="00BD51CB">
              <w:t xml:space="preserve"> – Communications du SDIS 13, du SDIS 44 et du SDIS 76</w:t>
            </w: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Pr="006E5937" w:rsidRDefault="006E5937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i/>
                <w:noProof/>
                <w:lang w:eastAsia="fr-FR"/>
              </w:rPr>
            </w:pPr>
            <w:r w:rsidRPr="006E5937">
              <w:rPr>
                <w:i/>
                <w:noProof/>
                <w:lang w:eastAsia="fr-FR"/>
              </w:rPr>
              <w:t>1</w:t>
            </w:r>
            <w:r w:rsidR="00E6245F">
              <w:rPr>
                <w:i/>
                <w:noProof/>
                <w:lang w:eastAsia="fr-FR"/>
              </w:rPr>
              <w:t>3</w:t>
            </w:r>
            <w:r w:rsidRPr="006E5937">
              <w:rPr>
                <w:i/>
                <w:noProof/>
                <w:lang w:eastAsia="fr-FR"/>
              </w:rPr>
              <w:t>h</w:t>
            </w:r>
            <w:r w:rsidR="00E6245F">
              <w:rPr>
                <w:i/>
                <w:noProof/>
                <w:lang w:eastAsia="fr-FR"/>
              </w:rPr>
              <w:t>0</w:t>
            </w:r>
            <w:r w:rsidRPr="006E5937">
              <w:rPr>
                <w:i/>
                <w:noProof/>
                <w:lang w:eastAsia="fr-FR"/>
              </w:rPr>
              <w:t xml:space="preserve">0 </w:t>
            </w:r>
            <w:r w:rsidRPr="006E5937">
              <w:rPr>
                <w:i/>
                <w:noProof/>
                <w:lang w:eastAsia="fr-FR"/>
              </w:rPr>
              <w:tab/>
              <w:t>Repas</w:t>
            </w: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vMerge/>
            <w:tcBorders>
              <w:left w:val="single" w:sz="18" w:space="0" w:color="002060"/>
              <w:bottom w:val="nil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</w:p>
        </w:tc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78"/>
                <w:tab w:val="left" w:pos="4678"/>
                <w:tab w:val="left" w:pos="7230"/>
              </w:tabs>
              <w:spacing w:after="60"/>
              <w:ind w:left="1178" w:hanging="1178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14h00 </w:t>
            </w:r>
            <w:r>
              <w:rPr>
                <w:noProof/>
                <w:lang w:eastAsia="fr-FR"/>
              </w:rPr>
              <w:tab/>
              <w:t>Fin des rencontres</w:t>
            </w: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  <w:vAlign w:val="center"/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ind w:left="1156" w:hanging="115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ab/>
            </w:r>
            <w:r w:rsidRPr="006E5937">
              <w:rPr>
                <w:noProof/>
                <w:u w:val="single"/>
                <w:lang w:eastAsia="fr-FR"/>
              </w:rPr>
              <w:t>Atelier 2</w:t>
            </w:r>
            <w:r w:rsidR="00BD51CB">
              <w:rPr>
                <w:noProof/>
                <w:lang w:eastAsia="fr-FR"/>
              </w:rPr>
              <w:t> :</w:t>
            </w:r>
            <w:r w:rsidR="00BD51CB">
              <w:t xml:space="preserve"> La pratique du Retex pour l’évolution de la doctrine dans le SUAP  </w:t>
            </w:r>
            <w:r>
              <w:t>(pratiques retex mises en œuvre sur les interventions SUAP, difficultés rencontrées, réflexions collectives et propositions d’amélioration)</w:t>
            </w:r>
            <w:r w:rsidR="00BD51CB">
              <w:t xml:space="preserve"> – Communications du SDIS 35 et de Mme Pauline Lenesley (doctorante en science de gestion, experte au SDIS 50)</w:t>
            </w:r>
          </w:p>
        </w:tc>
        <w:tc>
          <w:tcPr>
            <w:tcW w:w="7333" w:type="dxa"/>
            <w:vMerge w:val="restart"/>
            <w:tcBorders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3A6465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center"/>
              <w:rPr>
                <w:noProof/>
                <w:lang w:eastAsia="fr-FR"/>
              </w:rPr>
            </w:pPr>
            <w:r w:rsidRPr="00340C27">
              <w:rPr>
                <w:b/>
                <w:noProof/>
                <w:color w:val="002060"/>
                <w:lang w:eastAsia="fr-FR"/>
              </w:rPr>
              <w:t>Soirée</w:t>
            </w:r>
          </w:p>
        </w:tc>
        <w:tc>
          <w:tcPr>
            <w:tcW w:w="7333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</w:p>
        </w:tc>
      </w:tr>
      <w:tr w:rsidR="006E5937" w:rsidTr="00E0443B">
        <w:trPr>
          <w:trHeight w:val="454"/>
          <w:jc w:val="center"/>
        </w:trPr>
        <w:tc>
          <w:tcPr>
            <w:tcW w:w="7333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6E5937" w:rsidRDefault="006E5937" w:rsidP="00F923B9">
            <w:pPr>
              <w:tabs>
                <w:tab w:val="left" w:pos="731"/>
                <w:tab w:val="left" w:pos="4678"/>
                <w:tab w:val="left" w:pos="7230"/>
              </w:tabs>
              <w:spacing w:after="60"/>
              <w:ind w:left="22" w:hanging="22"/>
              <w:jc w:val="both"/>
              <w:rPr>
                <w:noProof/>
                <w:lang w:eastAsia="fr-FR"/>
              </w:rPr>
            </w:pPr>
            <w:r>
              <w:t>Visite conférence de la ville de Granville par un guide professionnel, organisée par l’office du tourisme</w:t>
            </w:r>
          </w:p>
        </w:tc>
        <w:tc>
          <w:tcPr>
            <w:tcW w:w="7333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6E5937" w:rsidRDefault="006E5937" w:rsidP="007F1CFD">
            <w:pPr>
              <w:tabs>
                <w:tab w:val="left" w:pos="1134"/>
                <w:tab w:val="left" w:pos="4678"/>
                <w:tab w:val="left" w:pos="7230"/>
              </w:tabs>
              <w:spacing w:after="60"/>
              <w:jc w:val="both"/>
              <w:rPr>
                <w:noProof/>
                <w:lang w:eastAsia="fr-FR"/>
              </w:rPr>
            </w:pPr>
          </w:p>
        </w:tc>
      </w:tr>
    </w:tbl>
    <w:p w:rsidR="006E5937" w:rsidRDefault="006E5937" w:rsidP="007F1CFD">
      <w:pPr>
        <w:tabs>
          <w:tab w:val="left" w:pos="1134"/>
          <w:tab w:val="left" w:pos="4678"/>
          <w:tab w:val="left" w:pos="7230"/>
        </w:tabs>
        <w:spacing w:after="60"/>
        <w:jc w:val="both"/>
      </w:pPr>
    </w:p>
    <w:sectPr w:rsidR="006E5937" w:rsidSect="00924F37">
      <w:footerReference w:type="default" r:id="rId14"/>
      <w:pgSz w:w="16838" w:h="11906" w:orient="landscape"/>
      <w:pgMar w:top="1135" w:right="709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7B" w:rsidRDefault="005A237B" w:rsidP="00E30148">
      <w:pPr>
        <w:spacing w:after="0" w:line="240" w:lineRule="auto"/>
      </w:pPr>
      <w:r>
        <w:separator/>
      </w:r>
    </w:p>
  </w:endnote>
  <w:endnote w:type="continuationSeparator" w:id="0">
    <w:p w:rsidR="005A237B" w:rsidRDefault="005A237B" w:rsidP="00E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9F" w:rsidRPr="00CE779F" w:rsidRDefault="005A237B" w:rsidP="00CE779F">
    <w:pPr>
      <w:pStyle w:val="Pieddepage"/>
      <w:rPr>
        <w:i/>
        <w:color w:val="7F7F7F" w:themeColor="text1" w:themeTint="80"/>
        <w:sz w:val="16"/>
        <w:szCs w:val="16"/>
      </w:rPr>
    </w:pPr>
    <w:r>
      <w:rPr>
        <w:bdr w:val="dashSmallGap" w:sz="4" w:space="0" w:color="002060"/>
      </w:rPr>
      <w:pict>
        <v:rect id="_x0000_i1025" style="width:0;height:1.5pt" o:hralign="center" o:hrstd="t" o:hr="t" fillcolor="#a0a0a0" stroked="f"/>
      </w:pict>
    </w:r>
    <w:r w:rsidR="00CE779F" w:rsidRPr="00CE779F">
      <w:rPr>
        <w:i/>
        <w:color w:val="7F7F7F" w:themeColor="text1" w:themeTint="80"/>
        <w:sz w:val="16"/>
        <w:szCs w:val="16"/>
      </w:rPr>
      <w:t>Partie réservée à l’organisation</w:t>
    </w:r>
  </w:p>
  <w:p w:rsidR="00CE779F" w:rsidRPr="00CE779F" w:rsidRDefault="00CE779F">
    <w:pPr>
      <w:pStyle w:val="Pieddepage"/>
      <w:rPr>
        <w:color w:val="7F7F7F" w:themeColor="text1" w:themeTint="80"/>
      </w:rPr>
    </w:pPr>
    <w:r w:rsidRPr="00CE779F">
      <w:rPr>
        <w:color w:val="7F7F7F" w:themeColor="text1" w:themeTint="80"/>
      </w:rPr>
      <w:t xml:space="preserve">Date de réception : </w:t>
    </w:r>
  </w:p>
  <w:p w:rsidR="00CE779F" w:rsidRDefault="00CE77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A4" w:rsidRPr="00504FA4" w:rsidRDefault="00504FA4" w:rsidP="00504F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7B" w:rsidRDefault="005A237B" w:rsidP="00E30148">
      <w:pPr>
        <w:spacing w:after="0" w:line="240" w:lineRule="auto"/>
      </w:pPr>
      <w:r>
        <w:separator/>
      </w:r>
    </w:p>
  </w:footnote>
  <w:footnote w:type="continuationSeparator" w:id="0">
    <w:p w:rsidR="005A237B" w:rsidRDefault="005A237B" w:rsidP="00E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38"/>
    <w:multiLevelType w:val="hybridMultilevel"/>
    <w:tmpl w:val="214A62FE"/>
    <w:lvl w:ilvl="0" w:tplc="260ACD96">
      <w:start w:val="1"/>
      <w:numFmt w:val="decimal"/>
      <w:lvlText w:val="Article %1 -"/>
      <w:lvlJc w:val="left"/>
      <w:pPr>
        <w:ind w:left="64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580"/>
    <w:multiLevelType w:val="hybridMultilevel"/>
    <w:tmpl w:val="E12621AA"/>
    <w:lvl w:ilvl="0" w:tplc="16760D34">
      <w:numFmt w:val="bullet"/>
      <w:lvlText w:val="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961113"/>
    <w:multiLevelType w:val="hybridMultilevel"/>
    <w:tmpl w:val="76E487C0"/>
    <w:lvl w:ilvl="0" w:tplc="65AC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E06"/>
    <w:multiLevelType w:val="multilevel"/>
    <w:tmpl w:val="6FAA46D0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0132DC"/>
    <w:multiLevelType w:val="multilevel"/>
    <w:tmpl w:val="DAB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374B77"/>
    <w:multiLevelType w:val="hybridMultilevel"/>
    <w:tmpl w:val="9BB86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294A"/>
    <w:multiLevelType w:val="hybridMultilevel"/>
    <w:tmpl w:val="D04ED3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6"/>
    <w:rsid w:val="000170DE"/>
    <w:rsid w:val="0002777E"/>
    <w:rsid w:val="00054024"/>
    <w:rsid w:val="0006211A"/>
    <w:rsid w:val="00066265"/>
    <w:rsid w:val="00091DB8"/>
    <w:rsid w:val="0009316E"/>
    <w:rsid w:val="00242A85"/>
    <w:rsid w:val="0025739C"/>
    <w:rsid w:val="002815E4"/>
    <w:rsid w:val="00283D56"/>
    <w:rsid w:val="002E2734"/>
    <w:rsid w:val="002E69FC"/>
    <w:rsid w:val="00302B44"/>
    <w:rsid w:val="003213C0"/>
    <w:rsid w:val="003223F0"/>
    <w:rsid w:val="00326369"/>
    <w:rsid w:val="00340C27"/>
    <w:rsid w:val="00340DBF"/>
    <w:rsid w:val="0037423F"/>
    <w:rsid w:val="003A6465"/>
    <w:rsid w:val="004370E4"/>
    <w:rsid w:val="0047424F"/>
    <w:rsid w:val="00504FA4"/>
    <w:rsid w:val="005272FA"/>
    <w:rsid w:val="00551C24"/>
    <w:rsid w:val="0057661C"/>
    <w:rsid w:val="005A00EA"/>
    <w:rsid w:val="005A237B"/>
    <w:rsid w:val="005B3B67"/>
    <w:rsid w:val="006077EA"/>
    <w:rsid w:val="0062728A"/>
    <w:rsid w:val="00670CE6"/>
    <w:rsid w:val="006B7D81"/>
    <w:rsid w:val="006E5937"/>
    <w:rsid w:val="00702E48"/>
    <w:rsid w:val="00733A3E"/>
    <w:rsid w:val="007B1285"/>
    <w:rsid w:val="007B3A9D"/>
    <w:rsid w:val="007D4956"/>
    <w:rsid w:val="007F1CFD"/>
    <w:rsid w:val="008026DD"/>
    <w:rsid w:val="00840EB9"/>
    <w:rsid w:val="00871D0A"/>
    <w:rsid w:val="008A2AF4"/>
    <w:rsid w:val="00924F37"/>
    <w:rsid w:val="0094096D"/>
    <w:rsid w:val="0098563B"/>
    <w:rsid w:val="00991193"/>
    <w:rsid w:val="00A21A71"/>
    <w:rsid w:val="00AB0686"/>
    <w:rsid w:val="00AC613D"/>
    <w:rsid w:val="00B5790E"/>
    <w:rsid w:val="00BA5B0A"/>
    <w:rsid w:val="00BD51CB"/>
    <w:rsid w:val="00C00EF3"/>
    <w:rsid w:val="00C16C7F"/>
    <w:rsid w:val="00CC14B5"/>
    <w:rsid w:val="00CE779F"/>
    <w:rsid w:val="00D027E6"/>
    <w:rsid w:val="00D16681"/>
    <w:rsid w:val="00D45246"/>
    <w:rsid w:val="00D61401"/>
    <w:rsid w:val="00D801F2"/>
    <w:rsid w:val="00DA2B04"/>
    <w:rsid w:val="00E0443B"/>
    <w:rsid w:val="00E150F2"/>
    <w:rsid w:val="00E30148"/>
    <w:rsid w:val="00E44BCC"/>
    <w:rsid w:val="00E6245F"/>
    <w:rsid w:val="00EF7E66"/>
    <w:rsid w:val="00F923B9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FAF6"/>
  <w15:chartTrackingRefBased/>
  <w15:docId w15:val="{769934B9-274B-4307-B0D4-F974AFAF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15E4"/>
    <w:pPr>
      <w:keepNext/>
      <w:keepLines/>
      <w:numPr>
        <w:numId w:val="4"/>
      </w:numPr>
      <w:spacing w:before="40" w:after="120"/>
      <w:ind w:left="1559" w:hanging="1559"/>
      <w:jc w:val="both"/>
      <w:outlineLvl w:val="3"/>
    </w:pPr>
    <w:rPr>
      <w:rFonts w:ascii="Verdana" w:eastAsiaTheme="majorEastAsia" w:hAnsi="Verdana" w:cstheme="majorBidi"/>
      <w:b/>
      <w:iCs/>
      <w:color w:val="1F3864" w:themeColor="accent5" w:themeShade="80"/>
      <w:spacing w:val="-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815E4"/>
    <w:rPr>
      <w:rFonts w:ascii="Verdana" w:eastAsiaTheme="majorEastAsia" w:hAnsi="Verdana" w:cstheme="majorBidi"/>
      <w:b/>
      <w:iCs/>
      <w:color w:val="1F3864" w:themeColor="accent5" w:themeShade="80"/>
      <w:spacing w:val="-20"/>
      <w:sz w:val="24"/>
    </w:rPr>
  </w:style>
  <w:style w:type="character" w:styleId="Lienhypertexte">
    <w:name w:val="Hyperlink"/>
    <w:basedOn w:val="Policepardfaut"/>
    <w:uiPriority w:val="99"/>
    <w:unhideWhenUsed/>
    <w:rsid w:val="00D027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2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148"/>
  </w:style>
  <w:style w:type="paragraph" w:styleId="Pieddepage">
    <w:name w:val="footer"/>
    <w:basedOn w:val="Normal"/>
    <w:link w:val="PieddepageCar"/>
    <w:uiPriority w:val="99"/>
    <w:unhideWhenUsed/>
    <w:rsid w:val="00E3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148"/>
  </w:style>
  <w:style w:type="paragraph" w:styleId="Textedebulles">
    <w:name w:val="Balloon Text"/>
    <w:basedOn w:val="Normal"/>
    <w:link w:val="TextedebullesCar"/>
    <w:uiPriority w:val="99"/>
    <w:semiHidden/>
    <w:unhideWhenUsed/>
    <w:rsid w:val="0092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telauboutduquai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contres-retex@sdis50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E7B5-32BD-40AA-941D-E636551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LEPRIEUR Valérie</dc:creator>
  <cp:keywords/>
  <dc:description/>
  <cp:lastModifiedBy>GAUTIER Anaïs</cp:lastModifiedBy>
  <cp:revision>3</cp:revision>
  <cp:lastPrinted>2018-05-30T08:44:00Z</cp:lastPrinted>
  <dcterms:created xsi:type="dcterms:W3CDTF">2018-08-16T07:20:00Z</dcterms:created>
  <dcterms:modified xsi:type="dcterms:W3CDTF">2018-08-16T07:21:00Z</dcterms:modified>
</cp:coreProperties>
</file>